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545</w:t>
      </w:r>
    </w:p>
    <w:p>
      <w:r>
        <w:t>Bundesgericht (BGE), 2005-08-15, DE</w:t>
      </w:r>
    </w:p>
    <w:p>
      <w:r>
        <w:rPr>
          <w:b/>
        </w:rPr>
        <w:t xml:space="preserve">Quelle: </w:t>
      </w:r>
      <w:r>
        <w:t>https://mcp.opencaselaw.ch/entscheid/bge_131 II 545</w:t>
      </w:r>
    </w:p>
    <w:p>
      <w:r>
        <w:t>FR: ATF 131 II 545</w:t>
      </w:r>
    </w:p>
    <w:p>
      <w:r>
        <w:t>IT: DTF 131 II 545</w:t>
      </w:r>
    </w:p>
    <w:p>
      <w:pPr>
        <w:pStyle w:val="Heading2"/>
      </w:pPr>
      <w:r>
        <w:t>Regeste</w:t>
      </w:r>
    </w:p>
    <w:p>
      <w:r>
        <w:t>Regeste Schonung von Natur- und Heimatschutzobjekten bei der Errichtung von Mobilfunkanlagen (Art. 3 NHG). Die Erteilung einer Baubewilligung für eine Mobilfunkanlage ist, auch innerhalb der Bauzone, eine Bundesaufgabe i.S.v. Art. 2 NHG, weshalb die zuständigen Behörden zur Schonung der in Art. 3 Abs. 1 NHG genannten Schutzobjekte verpflichtet sind (E. 2).</w:t>
      </w:r>
    </w:p>
    <w:p>
      <w:pPr>
        <w:pStyle w:val="Heading2"/>
      </w:pPr>
      <w:r>
        <w:t>Erwägungen</w:t>
      </w:r>
    </w:p>
    <w:p>
      <w:r>
        <w:rPr>
          <w:b/>
        </w:rPr>
        <w:t>E. 2</w:t>
      </w:r>
    </w:p>
    <w:p>
      <w:r>
        <w:t>Die Beschwerdeführer rügen zunächst eine Verletzung von Art. 3 Abs. 1 und 2 lit. a des Bundesgesetzes vom 1. Juli 1966 über den Natur- und Heimatschutz (NHG; SR 451) : Der Landgasthof befinde sich im Ortsbildinventar Rossrüti und stelle somit ein Kulturobjekt im Sinne der Schutzverordnung der Gemeinde Bronschhofen vom 15. September 1995 (SchutzV) dar. Zwar sei die Scheune selbst nicht unter Schutz gestellt; sie bilde jedoch mit dem Landgasthof eine Einheit; dies hätten die Vorinstanzen verkannt. Die Antennenanlage, die praktisch von sämtlichen Orten des Dorfes eingesehen werden könne, verunstalte zudem das geschützte Ortsbild von Rossrüti.</w:t>
      </w:r>
    </w:p>
    <w:p>
      <w:r>
        <w:rPr>
          <w:b/>
        </w:rPr>
        <w:t>E. 2.1</w:t>
      </w:r>
    </w:p>
    <w:p>
      <w:r>
        <w:t>Art. 3 NHG bestimmt, dass der Bund, seine Anstalten und Betriebe sowie die Kantone bei der Erfüllung von Bundesaufgaben dafür sorgen, dass das heimatliche Landschafts- und Ortsbild, geschichtliche Stätten sowie Natur- und Kulturdenkmäler geschont werden und, wo das allgemeine Interesse an ihnen überwiegt, ungeschmälert erhalten bleiben (Abs. 1). Sie erfüllen diese Pflicht u.a., indem sie Konzessionen und Bewilligungen nur unter Bedingungen oder Auflagen erteilen oder aber verweigern (Art. 2 Bst. b). BGE 131 II 545 S. 547 Diese Pflicht gilt unabhängig von der Bedeutung des Objektes im Sinne von Artikel 4 NHG; eine Massnahme darf jedoch nicht weitergehen, als es der Schutz des Objektes und seiner Umgebung erfordert (Abs. 3). Bei der nach Art. 3 NHG gebotenen Interessenabwägung sind - anders als bei Art. 6 Abs. 2 NHG - sämtliche Interessen und nicht nur solche von nationaler Bedeutung zu berücksichtigten (ANNE-CHRISTINE FAVRE, NHG-Kommentar, N. 4 zu Art. 3 NHG ).</w:t>
      </w:r>
    </w:p>
    <w:p>
      <w:r>
        <w:rPr>
          <w:b/>
        </w:rPr>
        <w:t>E. 2.2</w:t>
      </w:r>
    </w:p>
    <w:p>
      <w:r>
        <w:t>Das Bundesgericht hat sich im Entscheid 1A.142/2004 vom 10. Dezember 2004 (E. 4.3) mit der Frage befasst, ob die Erteilung einer Baubewilligung für eine Mobilfunkantenne innerhalb der Bauzone eine Bundesaufgabe im Sinne von Art. 2 NHG und Art. 78 Abs. 2 BV darstelle. Obwohl es die Frage im Ergebnis offen lassen konnte, sprach es sich in den damals angestellten Erwägungen für das Vorliegen einer Bundesaufgabe aus. Mobilfunkanlagen werden zur Erbringung einer vom Bund konzessionierten Dienstleistung errichtet. Die Mobilfunkkonzessionen, die von der Eidgenössischen Kommunikationskommission gestützt auf Bundes-Fernmelderecht erteilt werden, verpflichten die Konzessionärinnen zum Aufbau eines je eigenen Mobilfunknetzes, das einen bestimmten Prozentsatz der Bevölkerung und der Fläche abdecken muss. Zwar bleibt es den Mobilfunkbetreibern überlassen, an welchen Standorten sie ihre Anlagen errichten wollen, und die Bewilligung dieser Standorte bleibt - innerhalb der Bauzone - Aufgabe der Kantone und der Gemeinden. Dies schliesst das Vorliegen einer Bundesaufgabe jedoch nicht aus, wie ein Blick auf die Rechtslage bei der Errichtung von Zivilschutzbauten belegt: Das Bundesgesetz vom 4. Oktober 2002 über den Zivilschutz (Bevölkerungs- und Zivilschutzgesetz, BZG; SR 520.1) verpflichtet die Kantone, ein ausgewogenes Schutzplatzangebot zu gewährleisten ( Art. 47 BZG ); hierzu müssen die Gemeinden notfalls öffentliche Schutzräume errichten ( Art. 46 Abs. 2 BZG ); es ist jedoch Sache der Kantone bzw. der Gemeinden, den Standort und die bauliche Gestaltung dieser Anlagen zu bestimmen; die Bewilligung erfolgt (innerhalb der Bauzone) im ordentlichen Bewilligungsverfahren. Dennoch handelt es sich um eine Bundesaufgabe, mit der Folge, dass die zuständigen kantonalen Behörden zur Schonung der in Art. 3 NHG genannten Schutzobjekte und zur BGE 131 II 545 S. 548 ungeschmälerten Erhaltung und grösstmöglichen Schonung von Inventar-Objekten nach Art. 6 NHG verpflichtet sind (Urteil 1A.231/ 1998 vom 12. Juli 1999, E. 1b/bb und 2a, publ. in: RDAF 2000 I S. 141 und URP 2000 S. 659). Die Konzessionen verpflichten die Mobilfunkbetreiber, je ein eigenes Mobilfunknetz aufzubauen, was sie de facto zum landesweiten Bau eigener Mobilfunkanlagen verpflichtet. Die von den Konzessionen vorgegebene Koexistenz mehrerer unabhängiger, landesweiter Mobilfunknetze birgt die Gefahr der Beeinträchtigung schützenswerter Landschaften und Ortsbilder. Die Anwendbarkeit der Art. 3 und 6 NHG ist das notwendige Korrelat, um sicherzustellen, dass diese Verpflichtung nicht auf Kosten von NHG- Schutzobjekten erfüllt wird. Nach dem Gesagten ist deshalb das Vorliegen einer Bundesaufgabe zu bejahen, was zur Anwendbarkeit von Art. 3 NHG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